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D0" w:rsidRPr="00EE75D0" w:rsidRDefault="00EE75D0" w:rsidP="00EE75D0">
      <w:pPr>
        <w:widowControl w:val="0"/>
        <w:autoSpaceDE w:val="0"/>
        <w:autoSpaceDN w:val="0"/>
        <w:spacing w:after="0" w:line="240" w:lineRule="auto"/>
        <w:jc w:val="center"/>
        <w:rPr>
          <w:rFonts w:ascii="Arial" w:eastAsia="Times New Roman" w:hAnsi="Arial" w:cs="Arial"/>
          <w:b/>
          <w:sz w:val="28"/>
          <w:szCs w:val="28"/>
        </w:rPr>
      </w:pPr>
      <w:r w:rsidRPr="00EE75D0">
        <w:rPr>
          <w:rFonts w:ascii="Arial" w:eastAsia="Times New Roman" w:hAnsi="Arial" w:cs="Arial"/>
          <w:b/>
          <w:sz w:val="28"/>
          <w:szCs w:val="28"/>
        </w:rPr>
        <w:t>SA-201</w:t>
      </w:r>
    </w:p>
    <w:p w:rsidR="00EE75D0" w:rsidRPr="00EE75D0" w:rsidRDefault="00EE75D0" w:rsidP="00EE75D0">
      <w:pPr>
        <w:widowControl w:val="0"/>
        <w:autoSpaceDE w:val="0"/>
        <w:autoSpaceDN w:val="0"/>
        <w:spacing w:after="0" w:line="240" w:lineRule="auto"/>
        <w:jc w:val="center"/>
        <w:rPr>
          <w:rFonts w:ascii="Arial" w:eastAsia="Times New Roman" w:hAnsi="Arial" w:cs="Arial"/>
          <w:b/>
          <w:sz w:val="28"/>
          <w:szCs w:val="28"/>
        </w:rPr>
      </w:pPr>
    </w:p>
    <w:p w:rsidR="00EE75D0" w:rsidRPr="00EE75D0" w:rsidRDefault="00EE75D0" w:rsidP="00EE75D0">
      <w:pPr>
        <w:widowControl w:val="0"/>
        <w:autoSpaceDE w:val="0"/>
        <w:autoSpaceDN w:val="0"/>
        <w:spacing w:after="0" w:line="240" w:lineRule="auto"/>
        <w:jc w:val="center"/>
        <w:rPr>
          <w:rFonts w:ascii="Arial" w:eastAsia="Times New Roman" w:hAnsi="Arial" w:cs="Arial"/>
          <w:b/>
          <w:sz w:val="28"/>
          <w:szCs w:val="28"/>
        </w:rPr>
      </w:pPr>
      <w:r w:rsidRPr="00EE75D0">
        <w:rPr>
          <w:rFonts w:ascii="Arial" w:eastAsia="Times New Roman" w:hAnsi="Arial" w:cs="Arial"/>
          <w:b/>
          <w:sz w:val="28"/>
          <w:szCs w:val="28"/>
        </w:rPr>
        <w:t>APPENDIX A</w:t>
      </w:r>
    </w:p>
    <w:p w:rsidR="00EE75D0" w:rsidRPr="00EE75D0" w:rsidRDefault="00EE75D0" w:rsidP="00EE75D0">
      <w:pPr>
        <w:widowControl w:val="0"/>
        <w:autoSpaceDE w:val="0"/>
        <w:autoSpaceDN w:val="0"/>
        <w:spacing w:before="286" w:after="0" w:line="240" w:lineRule="auto"/>
        <w:jc w:val="center"/>
        <w:rPr>
          <w:rFonts w:ascii="Arial" w:eastAsia="Times New Roman" w:hAnsi="Arial" w:cs="Times New Roman"/>
          <w:sz w:val="24"/>
          <w:szCs w:val="24"/>
        </w:rPr>
      </w:pPr>
      <w:bookmarkStart w:id="0" w:name="_GoBack"/>
      <w:r w:rsidRPr="00EE75D0">
        <w:rPr>
          <w:rFonts w:ascii="Arial" w:eastAsia="Times New Roman" w:hAnsi="Arial" w:cs="Times New Roman"/>
          <w:b/>
          <w:sz w:val="24"/>
          <w:szCs w:val="24"/>
        </w:rPr>
        <w:t>CRITERIA FOR COMPARING REGULATIONS AND IDENTIFYING DIFFERENCES</w:t>
      </w:r>
    </w:p>
    <w:p w:rsidR="00EE75D0" w:rsidRPr="00EE75D0" w:rsidRDefault="00EE75D0" w:rsidP="00EE75D0">
      <w:pPr>
        <w:widowControl w:val="0"/>
        <w:autoSpaceDE w:val="0"/>
        <w:autoSpaceDN w:val="0"/>
        <w:spacing w:after="0" w:line="240" w:lineRule="auto"/>
        <w:rPr>
          <w:rFonts w:ascii="Arial" w:eastAsia="Times New Roman" w:hAnsi="Arial" w:cs="Arial"/>
          <w:b/>
          <w:sz w:val="24"/>
          <w:szCs w:val="24"/>
        </w:rPr>
      </w:pPr>
    </w:p>
    <w:bookmarkEnd w:id="0"/>
    <w:p w:rsidR="00EE75D0" w:rsidRPr="00EE75D0" w:rsidRDefault="00EE75D0" w:rsidP="00EE75D0">
      <w:pPr>
        <w:widowControl w:val="0"/>
        <w:numPr>
          <w:ilvl w:val="0"/>
          <w:numId w:val="1"/>
        </w:numPr>
        <w:tabs>
          <w:tab w:val="left" w:pos="828"/>
          <w:tab w:val="left" w:pos="830"/>
        </w:tabs>
        <w:autoSpaceDE w:val="0"/>
        <w:autoSpaceDN w:val="0"/>
        <w:spacing w:before="218" w:after="0" w:line="240" w:lineRule="auto"/>
        <w:ind w:hanging="719"/>
        <w:outlineLvl w:val="1"/>
        <w:rPr>
          <w:rFonts w:ascii="Arial" w:eastAsia="Times New Roman" w:hAnsi="Arial" w:cs="Times New Roman"/>
          <w:b/>
          <w:bCs/>
        </w:rPr>
      </w:pPr>
      <w:r w:rsidRPr="00EE75D0">
        <w:rPr>
          <w:rFonts w:ascii="Arial" w:eastAsia="Times New Roman" w:hAnsi="Arial" w:cs="Times New Roman"/>
          <w:b/>
          <w:bCs/>
        </w:rPr>
        <w:t>DIFFERENCES</w:t>
      </w:r>
      <w:r w:rsidRPr="00EE75D0">
        <w:rPr>
          <w:rFonts w:ascii="Arial" w:eastAsia="Times New Roman" w:hAnsi="Arial" w:cs="Arial"/>
          <w:b/>
          <w:bCs/>
        </w:rPr>
        <w:t xml:space="preserve"> THAT ARE NOT</w:t>
      </w:r>
      <w:r w:rsidRPr="00EE75D0">
        <w:rPr>
          <w:rFonts w:ascii="Arial" w:eastAsia="Times New Roman" w:hAnsi="Arial" w:cs="Arial"/>
          <w:b/>
          <w:bCs/>
          <w:spacing w:val="-33"/>
        </w:rPr>
        <w:t xml:space="preserve"> </w:t>
      </w:r>
      <w:r w:rsidRPr="00EE75D0">
        <w:rPr>
          <w:rFonts w:ascii="Arial" w:eastAsia="Times New Roman" w:hAnsi="Arial" w:cs="Arial"/>
          <w:b/>
          <w:bCs/>
        </w:rPr>
        <w:t>SIGNIFICANT</w:t>
      </w:r>
    </w:p>
    <w:p w:rsidR="00EE75D0" w:rsidRPr="00EE75D0" w:rsidRDefault="00EE75D0" w:rsidP="00EE75D0">
      <w:pPr>
        <w:widowControl w:val="0"/>
        <w:autoSpaceDE w:val="0"/>
        <w:autoSpaceDN w:val="0"/>
        <w:spacing w:before="4" w:after="0" w:line="240" w:lineRule="auto"/>
        <w:rPr>
          <w:rFonts w:ascii="Arial" w:eastAsia="Times New Roman" w:hAnsi="Arial" w:cs="Arial"/>
          <w:b/>
        </w:rPr>
      </w:pPr>
    </w:p>
    <w:p w:rsidR="00EE75D0" w:rsidRPr="00EE75D0" w:rsidRDefault="00EE75D0" w:rsidP="00EE75D0">
      <w:pPr>
        <w:widowControl w:val="0"/>
        <w:autoSpaceDE w:val="0"/>
        <w:autoSpaceDN w:val="0"/>
        <w:spacing w:after="0" w:line="242" w:lineRule="auto"/>
        <w:ind w:left="830" w:right="566"/>
        <w:rPr>
          <w:rFonts w:ascii="Arial" w:eastAsia="Times New Roman" w:hAnsi="Arial" w:cs="Arial"/>
        </w:rPr>
      </w:pPr>
      <w:r w:rsidRPr="00EE75D0">
        <w:rPr>
          <w:rFonts w:ascii="Arial" w:eastAsia="Times New Roman" w:hAnsi="Arial" w:cs="Arial"/>
        </w:rPr>
        <w:t>In most cases, the following differences between Agreement State and NRC regulations are not significant and do NOT affect compatibility or the health and safety objectives of the regulation. These differences should be noted in the Reviewer Summary Sheet as “Yes” in the “Difference” column, but as “No” in the “Significant” column.  They also should not be included as a compatibility comment in the response letter to the State program:</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635" w:hanging="720"/>
        <w:rPr>
          <w:rFonts w:ascii="Arial" w:eastAsia="Times New Roman" w:hAnsi="Arial" w:cs="Arial"/>
        </w:rPr>
      </w:pPr>
      <w:r w:rsidRPr="00EE75D0">
        <w:rPr>
          <w:rFonts w:ascii="Arial" w:eastAsia="Times New Roman" w:hAnsi="Arial" w:cs="Arial"/>
        </w:rPr>
        <w:t>Differences that do not result in Agreement State licensees being subject to a requirement different from the equivalent NRC</w:t>
      </w:r>
      <w:r w:rsidRPr="00EE75D0">
        <w:rPr>
          <w:rFonts w:ascii="Arial" w:eastAsia="Times New Roman" w:hAnsi="Arial" w:cs="Arial"/>
          <w:spacing w:val="-6"/>
        </w:rPr>
        <w:t xml:space="preserve"> </w:t>
      </w:r>
      <w:r w:rsidRPr="00EE75D0">
        <w:rPr>
          <w:rFonts w:ascii="Arial" w:eastAsia="Times New Roman" w:hAnsi="Arial" w:cs="Arial"/>
        </w:rPr>
        <w:t>requirement;</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114" w:hanging="720"/>
        <w:rPr>
          <w:rFonts w:ascii="Arial" w:eastAsia="Times New Roman" w:hAnsi="Arial" w:cs="Arial"/>
        </w:rPr>
      </w:pPr>
      <w:r w:rsidRPr="00EE75D0">
        <w:rPr>
          <w:rFonts w:ascii="Arial" w:eastAsia="Times New Roman" w:hAnsi="Arial" w:cs="Arial"/>
        </w:rPr>
        <w:t>Differences that result from the Agreement State regulation being made applicable to sources of radiation not covered by the Atomic Energy Act, as amended (e.g., x-rays, naturally occurring and accelerator-produced radioactive materials not included in the Energy Policy Act of</w:t>
      </w:r>
      <w:r w:rsidRPr="00EE75D0">
        <w:rPr>
          <w:rFonts w:ascii="Arial" w:eastAsia="Times New Roman" w:hAnsi="Arial" w:cs="Arial"/>
          <w:spacing w:val="-1"/>
        </w:rPr>
        <w:t xml:space="preserve"> </w:t>
      </w:r>
      <w:r w:rsidRPr="00EE75D0">
        <w:rPr>
          <w:rFonts w:ascii="Arial" w:eastAsia="Times New Roman" w:hAnsi="Arial" w:cs="Arial"/>
        </w:rPr>
        <w:t>2005);</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557" w:hanging="720"/>
        <w:rPr>
          <w:rFonts w:ascii="Arial" w:eastAsia="Times New Roman" w:hAnsi="Arial" w:cs="Arial"/>
        </w:rPr>
      </w:pPr>
      <w:r w:rsidRPr="00EE75D0">
        <w:rPr>
          <w:rFonts w:ascii="Arial" w:eastAsia="Times New Roman" w:hAnsi="Arial" w:cs="Arial"/>
        </w:rPr>
        <w:t xml:space="preserve">Differences between the ordering and/or numbering of the subdivisions </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273" w:hanging="720"/>
        <w:rPr>
          <w:rFonts w:ascii="Arial" w:eastAsia="Times New Roman" w:hAnsi="Arial" w:cs="Arial"/>
        </w:rPr>
      </w:pPr>
      <w:r w:rsidRPr="00EE75D0">
        <w:rPr>
          <w:rFonts w:ascii="Arial" w:eastAsia="Times New Roman" w:hAnsi="Arial" w:cs="Arial"/>
        </w:rPr>
        <w:t>The substitution of terms with the same meaning (where the use of essentially identical terms is not required) according to the editorial style of the Agreement State, i.e., "shall" or "must,” "rule" or "regulation," "Commission" or "agency," "device" or "equipment;"</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1"/>
        </w:tabs>
        <w:autoSpaceDE w:val="0"/>
        <w:autoSpaceDN w:val="0"/>
        <w:spacing w:after="0" w:line="242" w:lineRule="auto"/>
        <w:ind w:right="718" w:hanging="720"/>
        <w:jc w:val="both"/>
        <w:rPr>
          <w:rFonts w:ascii="Arial" w:eastAsia="Times New Roman" w:hAnsi="Arial" w:cs="Arial"/>
        </w:rPr>
      </w:pPr>
      <w:r w:rsidRPr="00EE75D0">
        <w:rPr>
          <w:rFonts w:ascii="Arial" w:eastAsia="Times New Roman" w:hAnsi="Arial" w:cs="Arial"/>
        </w:rPr>
        <w:t>The omission of any portion of the text of an NRC regulation that provides an example, contains supplementary material, parenthetical information, or provides a reference to another regulation for the convenience of the reader;</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290" w:hanging="720"/>
        <w:rPr>
          <w:rFonts w:ascii="Arial" w:eastAsia="Times New Roman" w:hAnsi="Arial" w:cs="Arial"/>
        </w:rPr>
      </w:pPr>
      <w:r w:rsidRPr="00EE75D0">
        <w:rPr>
          <w:rFonts w:ascii="Arial" w:eastAsia="Times New Roman" w:hAnsi="Arial" w:cs="Arial"/>
        </w:rPr>
        <w:t>The incorporation, as a requirement in the Agreement State regulation, of any portion of the text of an NRC regulation that provides an example, contains supplementary material, parenthetical information, or provides a reference to another regulation for the convenience of the reader;</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658" w:hanging="720"/>
        <w:rPr>
          <w:rFonts w:ascii="Arial" w:eastAsia="Times New Roman" w:hAnsi="Arial" w:cs="Arial"/>
        </w:rPr>
      </w:pPr>
      <w:r w:rsidRPr="00EE75D0">
        <w:rPr>
          <w:rFonts w:ascii="Arial" w:eastAsia="Times New Roman" w:hAnsi="Arial" w:cs="Arial"/>
        </w:rPr>
        <w:t>Modifications to punctuation that do not change the meaning of the text, for example, changing a semicolon (";") to a conjunction followed by a comma</w:t>
      </w:r>
      <w:r w:rsidRPr="00EE75D0">
        <w:rPr>
          <w:rFonts w:ascii="Arial" w:eastAsia="Times New Roman" w:hAnsi="Arial" w:cs="Arial"/>
          <w:spacing w:val="-7"/>
        </w:rPr>
        <w:t xml:space="preserve"> </w:t>
      </w:r>
      <w:r w:rsidRPr="00EE75D0">
        <w:rPr>
          <w:rFonts w:ascii="Arial" w:eastAsia="Times New Roman" w:hAnsi="Arial" w:cs="Arial"/>
        </w:rPr>
        <w:t>("and,");</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50"/>
          <w:tab w:val="left" w:pos="1551"/>
        </w:tabs>
        <w:autoSpaceDE w:val="0"/>
        <w:autoSpaceDN w:val="0"/>
        <w:spacing w:after="0" w:line="242" w:lineRule="auto"/>
        <w:ind w:right="910" w:hanging="720"/>
        <w:rPr>
          <w:rFonts w:ascii="Arial" w:eastAsia="Times New Roman" w:hAnsi="Arial" w:cs="Arial"/>
        </w:rPr>
      </w:pPr>
      <w:r w:rsidRPr="00EE75D0">
        <w:rPr>
          <w:rFonts w:ascii="Arial" w:eastAsia="Times New Roman" w:hAnsi="Arial" w:cs="Arial"/>
        </w:rPr>
        <w:t>Any difference that results from the use of International System of Units (SI) units for record keeping and reporting;</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tabs>
          <w:tab w:val="left" w:pos="1549"/>
          <w:tab w:val="left" w:pos="1550"/>
        </w:tabs>
        <w:autoSpaceDE w:val="0"/>
        <w:autoSpaceDN w:val="0"/>
        <w:spacing w:after="0" w:line="240" w:lineRule="auto"/>
        <w:ind w:left="1549" w:hanging="719"/>
        <w:rPr>
          <w:rFonts w:ascii="Arial" w:eastAsia="Times New Roman" w:hAnsi="Arial" w:cs="Arial"/>
        </w:rPr>
      </w:pPr>
      <w:r w:rsidRPr="00EE75D0">
        <w:rPr>
          <w:rFonts w:ascii="Arial" w:eastAsia="Times New Roman" w:hAnsi="Arial" w:cs="Arial"/>
        </w:rPr>
        <w:t>Typographical and minor editorial or punctuation</w:t>
      </w:r>
      <w:r w:rsidRPr="00EE75D0">
        <w:rPr>
          <w:rFonts w:ascii="Arial" w:eastAsia="Times New Roman" w:hAnsi="Arial" w:cs="Arial"/>
          <w:spacing w:val="-3"/>
        </w:rPr>
        <w:t xml:space="preserve"> </w:t>
      </w:r>
      <w:r w:rsidRPr="00EE75D0">
        <w:rPr>
          <w:rFonts w:ascii="Arial" w:eastAsia="Times New Roman" w:hAnsi="Arial" w:cs="Arial"/>
        </w:rPr>
        <w:t>errors;</w:t>
      </w:r>
    </w:p>
    <w:p w:rsidR="00EE75D0" w:rsidRPr="00EE75D0" w:rsidRDefault="00EE75D0" w:rsidP="00EE75D0">
      <w:pPr>
        <w:widowControl w:val="0"/>
        <w:autoSpaceDE w:val="0"/>
        <w:autoSpaceDN w:val="0"/>
        <w:spacing w:after="0" w:line="240" w:lineRule="auto"/>
        <w:ind w:left="2650" w:hanging="720"/>
        <w:rPr>
          <w:rFonts w:ascii="Arial" w:eastAsia="Times New Roman" w:hAnsi="Arial" w:cs="Arial"/>
        </w:rPr>
      </w:pPr>
    </w:p>
    <w:p w:rsidR="00EE75D0" w:rsidRPr="00EE75D0" w:rsidRDefault="00EE75D0" w:rsidP="00EE75D0">
      <w:pPr>
        <w:widowControl w:val="0"/>
        <w:numPr>
          <w:ilvl w:val="1"/>
          <w:numId w:val="1"/>
        </w:numPr>
        <w:tabs>
          <w:tab w:val="left" w:pos="1549"/>
          <w:tab w:val="left" w:pos="1550"/>
        </w:tabs>
        <w:autoSpaceDE w:val="0"/>
        <w:autoSpaceDN w:val="0"/>
        <w:spacing w:after="0" w:line="240" w:lineRule="auto"/>
        <w:ind w:left="1549" w:hanging="719"/>
        <w:rPr>
          <w:rFonts w:ascii="Arial" w:eastAsia="Times New Roman" w:hAnsi="Arial" w:cs="Arial"/>
          <w:b/>
        </w:rPr>
      </w:pPr>
      <w:r w:rsidRPr="00EE75D0">
        <w:rPr>
          <w:rFonts w:ascii="Arial" w:eastAsia="Times New Roman" w:hAnsi="Arial" w:cs="Arial"/>
        </w:rPr>
        <w:t>References to the State agency instead of the NRC for certain reports, notifications or certifications.</w:t>
      </w:r>
      <w:r w:rsidRPr="00EE75D0">
        <w:rPr>
          <w:rFonts w:ascii="Arial" w:eastAsia="Times New Roman" w:hAnsi="Arial" w:cs="Arial"/>
        </w:rPr>
        <w:br/>
      </w:r>
    </w:p>
    <w:p w:rsidR="00EE75D0" w:rsidRPr="00EE75D0" w:rsidRDefault="00EE75D0" w:rsidP="00EE75D0">
      <w:pPr>
        <w:widowControl w:val="0"/>
        <w:numPr>
          <w:ilvl w:val="0"/>
          <w:numId w:val="1"/>
        </w:numPr>
        <w:tabs>
          <w:tab w:val="left" w:pos="828"/>
          <w:tab w:val="left" w:pos="830"/>
        </w:tabs>
        <w:autoSpaceDE w:val="0"/>
        <w:autoSpaceDN w:val="0"/>
        <w:spacing w:before="218" w:after="0" w:line="240" w:lineRule="auto"/>
        <w:ind w:hanging="719"/>
        <w:outlineLvl w:val="1"/>
        <w:rPr>
          <w:rFonts w:ascii="Arial" w:eastAsia="Times New Roman" w:hAnsi="Arial" w:cs="Arial"/>
          <w:b/>
          <w:bCs/>
        </w:rPr>
      </w:pPr>
      <w:r w:rsidRPr="00EE75D0">
        <w:rPr>
          <w:rFonts w:ascii="Arial" w:eastAsia="Times New Roman" w:hAnsi="Arial" w:cs="Arial"/>
          <w:b/>
          <w:bCs/>
        </w:rPr>
        <w:t>DIFFERENCES THAT ARE</w:t>
      </w:r>
      <w:r w:rsidRPr="00EE75D0">
        <w:rPr>
          <w:rFonts w:ascii="Arial" w:eastAsia="Times New Roman" w:hAnsi="Arial" w:cs="Arial"/>
          <w:b/>
          <w:bCs/>
          <w:spacing w:val="-30"/>
        </w:rPr>
        <w:t xml:space="preserve"> </w:t>
      </w:r>
      <w:r w:rsidRPr="00EE75D0">
        <w:rPr>
          <w:rFonts w:ascii="Arial" w:eastAsia="Times New Roman" w:hAnsi="Arial" w:cs="Arial"/>
          <w:b/>
          <w:bCs/>
        </w:rPr>
        <w:t>SIGNIFICANT</w:t>
      </w:r>
    </w:p>
    <w:p w:rsidR="00EE75D0" w:rsidRPr="00EE75D0" w:rsidRDefault="00EE75D0" w:rsidP="00EE75D0">
      <w:pPr>
        <w:widowControl w:val="0"/>
        <w:autoSpaceDE w:val="0"/>
        <w:autoSpaceDN w:val="0"/>
        <w:spacing w:before="4" w:after="0" w:line="240" w:lineRule="auto"/>
        <w:rPr>
          <w:rFonts w:ascii="Arial" w:eastAsia="Times New Roman" w:hAnsi="Arial" w:cs="Arial"/>
          <w:b/>
        </w:rPr>
      </w:pPr>
    </w:p>
    <w:p w:rsidR="00EE75D0" w:rsidRPr="00EE75D0" w:rsidRDefault="00EE75D0" w:rsidP="00EE75D0">
      <w:pPr>
        <w:widowControl w:val="0"/>
        <w:autoSpaceDE w:val="0"/>
        <w:autoSpaceDN w:val="0"/>
        <w:spacing w:after="0" w:line="242" w:lineRule="auto"/>
        <w:ind w:left="830" w:right="147"/>
        <w:rPr>
          <w:rFonts w:ascii="Arial" w:eastAsia="Times New Roman" w:hAnsi="Arial" w:cs="Arial"/>
        </w:rPr>
      </w:pPr>
      <w:r w:rsidRPr="00EE75D0">
        <w:rPr>
          <w:rFonts w:ascii="Arial" w:eastAsia="Times New Roman" w:hAnsi="Arial" w:cs="Arial"/>
        </w:rPr>
        <w:t>In some cases, the difference in the wording between Agreement State and NRC regulations may significantly change the meaning and/or intent of the regulation and may, therefore, affect compatibility or the H&amp;S objectives of the regulation. The reviewer is also responsible for checking requirements that have been adopted by reference to ensure that the corresponding sections refer to the appropriate criteria.</w:t>
      </w:r>
    </w:p>
    <w:p w:rsidR="00EE75D0" w:rsidRPr="00EE75D0" w:rsidRDefault="00EE75D0" w:rsidP="00EE75D0">
      <w:pPr>
        <w:widowControl w:val="0"/>
        <w:autoSpaceDE w:val="0"/>
        <w:autoSpaceDN w:val="0"/>
        <w:spacing w:before="4" w:after="0" w:line="240" w:lineRule="auto"/>
        <w:rPr>
          <w:rFonts w:ascii="Arial" w:eastAsia="Times New Roman" w:hAnsi="Arial" w:cs="Arial"/>
        </w:rPr>
      </w:pPr>
    </w:p>
    <w:p w:rsidR="00EE75D0" w:rsidRPr="00EE75D0" w:rsidRDefault="00EE75D0" w:rsidP="00EE75D0">
      <w:pPr>
        <w:widowControl w:val="0"/>
        <w:numPr>
          <w:ilvl w:val="1"/>
          <w:numId w:val="1"/>
        </w:numPr>
        <w:autoSpaceDE w:val="0"/>
        <w:autoSpaceDN w:val="0"/>
        <w:spacing w:after="0" w:line="242" w:lineRule="auto"/>
        <w:ind w:right="108"/>
        <w:rPr>
          <w:rFonts w:ascii="Arial" w:eastAsia="Times New Roman" w:hAnsi="Arial" w:cs="Arial"/>
        </w:rPr>
      </w:pPr>
      <w:r w:rsidRPr="00EE75D0">
        <w:rPr>
          <w:rFonts w:ascii="Arial" w:eastAsia="Times New Roman" w:hAnsi="Arial" w:cs="Arial"/>
        </w:rPr>
        <w:t xml:space="preserve">Regulations Assigned Compatibility Category A and B </w:t>
      </w: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r w:rsidRPr="00EE75D0">
        <w:rPr>
          <w:rFonts w:ascii="Arial" w:eastAsia="Times New Roman" w:hAnsi="Arial" w:cs="Arial"/>
        </w:rPr>
        <w:t>Differences between NRC and Agreement State regulations are significant and result in incompatibility if the licensee actions required to satisfy the NRC regulation are not the same as the actions required to satisfy the corresponding Agreement State regulation for all phases of the licensee’s operations. Such a conclusion—that the text of the Agreement State regulation leads to a different interpretation than the text of the corresponding NRC regulation—would result in a finding that the Agreement State regulation does not meet the compatibility category A or B designation. The reviewer should describe why the State's regulation leads to a different interpretation.</w:t>
      </w: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p>
    <w:p w:rsidR="00EE75D0" w:rsidRPr="00EE75D0" w:rsidRDefault="00EE75D0" w:rsidP="00EE75D0">
      <w:pPr>
        <w:widowControl w:val="0"/>
        <w:numPr>
          <w:ilvl w:val="1"/>
          <w:numId w:val="1"/>
        </w:numPr>
        <w:autoSpaceDE w:val="0"/>
        <w:autoSpaceDN w:val="0"/>
        <w:spacing w:after="0" w:line="242" w:lineRule="auto"/>
        <w:ind w:right="108"/>
        <w:rPr>
          <w:rFonts w:ascii="Arial" w:eastAsia="Times New Roman" w:hAnsi="Arial" w:cs="Arial"/>
        </w:rPr>
      </w:pPr>
      <w:r w:rsidRPr="00EE75D0">
        <w:rPr>
          <w:rFonts w:ascii="Arial" w:eastAsia="Times New Roman" w:hAnsi="Arial" w:cs="Arial"/>
        </w:rPr>
        <w:t xml:space="preserve">Regulations Assigned Compatibility Category C </w:t>
      </w: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r w:rsidRPr="00EE75D0">
        <w:rPr>
          <w:rFonts w:ascii="Arial" w:eastAsia="Times New Roman" w:hAnsi="Arial" w:cs="Arial"/>
        </w:rPr>
        <w:t>Differences between Agreement State and NRC regulations are acceptable only if, despite such differences, the Agreement State has adopted the essential objectives of the corresponding NRC program element in order to avoid conflicts, duplication, gaps or other conditions that would jeopardize the orderly pattern in regulation of agreement materials on a nationwide basis. Please see Management Directive 5.9</w:t>
      </w:r>
      <w:r w:rsidRPr="00EE75D0">
        <w:rPr>
          <w:rFonts w:ascii="Arial" w:eastAsia="Times New Roman" w:hAnsi="Arial" w:cs="Arial"/>
          <w:i/>
        </w:rPr>
        <w:t xml:space="preserve"> </w:t>
      </w:r>
      <w:r w:rsidRPr="00EE75D0">
        <w:rPr>
          <w:rFonts w:ascii="Arial" w:eastAsia="Times New Roman" w:hAnsi="Arial" w:cs="Arial"/>
        </w:rPr>
        <w:t>for definitions of “essential objective”, “conflict”, “duplication,” and “gap.” In the case of compatibility category C, t</w:t>
      </w:r>
      <w:r w:rsidRPr="00EE75D0">
        <w:rPr>
          <w:rFonts w:ascii="Arial" w:eastAsia="Times New Roman" w:hAnsi="Arial" w:cs="Times New Roman"/>
        </w:rPr>
        <w:t>he Agreement State may adopt regulations that are more restrictive than the NRC regulations. The reviewer should refer to the Statements of Consideration in the Federal Register Notice for each rulemaking for information regarding the objective of each regulation revision or addition.</w:t>
      </w: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p>
    <w:p w:rsidR="00EE75D0" w:rsidRPr="00EE75D0" w:rsidRDefault="00EE75D0" w:rsidP="00EE75D0">
      <w:pPr>
        <w:widowControl w:val="0"/>
        <w:numPr>
          <w:ilvl w:val="1"/>
          <w:numId w:val="1"/>
        </w:numPr>
        <w:autoSpaceDE w:val="0"/>
        <w:autoSpaceDN w:val="0"/>
        <w:spacing w:after="0" w:line="242" w:lineRule="auto"/>
        <w:ind w:right="108"/>
        <w:rPr>
          <w:rFonts w:ascii="Arial" w:eastAsia="Times New Roman" w:hAnsi="Arial" w:cs="Arial"/>
        </w:rPr>
      </w:pPr>
      <w:r w:rsidRPr="00EE75D0">
        <w:rPr>
          <w:rFonts w:ascii="Arial" w:eastAsia="Times New Roman" w:hAnsi="Arial" w:cs="Arial"/>
        </w:rPr>
        <w:t>Regulations Assigned a Health and Safety (H&amp;S) Designation</w:t>
      </w:r>
    </w:p>
    <w:p w:rsidR="00EE75D0" w:rsidRPr="00EE75D0" w:rsidRDefault="00EE75D0" w:rsidP="00EE75D0">
      <w:pPr>
        <w:widowControl w:val="0"/>
        <w:autoSpaceDE w:val="0"/>
        <w:autoSpaceDN w:val="0"/>
        <w:spacing w:after="0" w:line="242" w:lineRule="auto"/>
        <w:ind w:left="1550" w:right="108"/>
        <w:rPr>
          <w:rFonts w:ascii="Arial" w:eastAsia="Times New Roman" w:hAnsi="Arial" w:cs="Arial"/>
        </w:rPr>
      </w:pPr>
    </w:p>
    <w:p w:rsidR="004E417B" w:rsidRDefault="00EE75D0" w:rsidP="00EE75D0">
      <w:pPr>
        <w:ind w:left="1440"/>
      </w:pPr>
      <w:r w:rsidRPr="00EE75D0">
        <w:rPr>
          <w:rFonts w:ascii="Arial" w:eastAsia="Times New Roman" w:hAnsi="Arial" w:cs="Arial"/>
        </w:rPr>
        <w:t>The Agreement State regulation must adopt the essential objectives of the corresponding NRC program element because of the health and safety significance of the program element.  A conclusion that an Agreement State regulation does not reflect the H&amp;S objectives of the corresponding NRC regulation or creates a conflict, duplication or a gap would result in a significant finding. Please see Management Directive 5.9</w:t>
      </w:r>
      <w:r w:rsidRPr="00EE75D0">
        <w:rPr>
          <w:rFonts w:ascii="Arial" w:eastAsia="Times New Roman" w:hAnsi="Arial" w:cs="Arial"/>
          <w:i/>
        </w:rPr>
        <w:t xml:space="preserve"> </w:t>
      </w:r>
      <w:r w:rsidRPr="00EE75D0">
        <w:rPr>
          <w:rFonts w:ascii="Arial" w:eastAsia="Times New Roman" w:hAnsi="Arial" w:cs="Arial"/>
        </w:rPr>
        <w:t>for definitions of “essential objective”, “conflict”, “duplication”, and “gap”.  The reviewer should describe why the Agreement State's regulation does not reflect the H&amp;S intent of the corresponding NRC regulation in their comment.</w:t>
      </w:r>
    </w:p>
    <w:sectPr w:rsidR="004E417B" w:rsidSect="00EE75D0">
      <w:pgSz w:w="12240" w:h="15840" w:code="1"/>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AF5"/>
    <w:multiLevelType w:val="hybridMultilevel"/>
    <w:tmpl w:val="73341970"/>
    <w:lvl w:ilvl="0" w:tplc="A6187B60">
      <w:start w:val="1"/>
      <w:numFmt w:val="upperRoman"/>
      <w:lvlText w:val="%1."/>
      <w:lvlJc w:val="left"/>
      <w:pPr>
        <w:ind w:left="829" w:hanging="720"/>
      </w:pPr>
      <w:rPr>
        <w:rFonts w:ascii="Times New Roman" w:eastAsia="Times New Roman" w:hAnsi="Times New Roman" w:cs="Times New Roman" w:hint="default"/>
        <w:b/>
        <w:bCs/>
        <w:spacing w:val="-1"/>
        <w:w w:val="99"/>
        <w:sz w:val="24"/>
        <w:szCs w:val="24"/>
      </w:rPr>
    </w:lvl>
    <w:lvl w:ilvl="1" w:tplc="4056AE76">
      <w:start w:val="1"/>
      <w:numFmt w:val="upperLetter"/>
      <w:lvlText w:val="%2."/>
      <w:lvlJc w:val="left"/>
      <w:pPr>
        <w:ind w:left="1550" w:hanging="721"/>
      </w:pPr>
      <w:rPr>
        <w:rFonts w:ascii="Arial" w:eastAsia="Times New Roman" w:hAnsi="Arial" w:cs="Arial" w:hint="default"/>
        <w:w w:val="99"/>
        <w:sz w:val="22"/>
        <w:szCs w:val="22"/>
      </w:rPr>
    </w:lvl>
    <w:lvl w:ilvl="2" w:tplc="FF4CCA84">
      <w:numFmt w:val="bullet"/>
      <w:lvlText w:val="•"/>
      <w:lvlJc w:val="left"/>
      <w:pPr>
        <w:ind w:left="2451" w:hanging="721"/>
      </w:pPr>
      <w:rPr>
        <w:rFonts w:hint="default"/>
      </w:rPr>
    </w:lvl>
    <w:lvl w:ilvl="3" w:tplc="BBEA79A6">
      <w:numFmt w:val="bullet"/>
      <w:lvlText w:val="•"/>
      <w:lvlJc w:val="left"/>
      <w:pPr>
        <w:ind w:left="3342" w:hanging="721"/>
      </w:pPr>
      <w:rPr>
        <w:rFonts w:hint="default"/>
      </w:rPr>
    </w:lvl>
    <w:lvl w:ilvl="4" w:tplc="4BE4CAB6">
      <w:numFmt w:val="bullet"/>
      <w:lvlText w:val="•"/>
      <w:lvlJc w:val="left"/>
      <w:pPr>
        <w:ind w:left="4233" w:hanging="721"/>
      </w:pPr>
      <w:rPr>
        <w:rFonts w:hint="default"/>
      </w:rPr>
    </w:lvl>
    <w:lvl w:ilvl="5" w:tplc="2DA0BB2E">
      <w:numFmt w:val="bullet"/>
      <w:lvlText w:val="•"/>
      <w:lvlJc w:val="left"/>
      <w:pPr>
        <w:ind w:left="5124" w:hanging="721"/>
      </w:pPr>
      <w:rPr>
        <w:rFonts w:hint="default"/>
      </w:rPr>
    </w:lvl>
    <w:lvl w:ilvl="6" w:tplc="546E863E">
      <w:numFmt w:val="bullet"/>
      <w:lvlText w:val="•"/>
      <w:lvlJc w:val="left"/>
      <w:pPr>
        <w:ind w:left="6015" w:hanging="721"/>
      </w:pPr>
      <w:rPr>
        <w:rFonts w:hint="default"/>
      </w:rPr>
    </w:lvl>
    <w:lvl w:ilvl="7" w:tplc="815048C4">
      <w:numFmt w:val="bullet"/>
      <w:lvlText w:val="•"/>
      <w:lvlJc w:val="left"/>
      <w:pPr>
        <w:ind w:left="6906" w:hanging="721"/>
      </w:pPr>
      <w:rPr>
        <w:rFonts w:hint="default"/>
      </w:rPr>
    </w:lvl>
    <w:lvl w:ilvl="8" w:tplc="DC60079C">
      <w:numFmt w:val="bullet"/>
      <w:lvlText w:val="•"/>
      <w:lvlJc w:val="left"/>
      <w:pPr>
        <w:ind w:left="7797"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D0"/>
    <w:rsid w:val="00003477"/>
    <w:rsid w:val="00004E8B"/>
    <w:rsid w:val="00010646"/>
    <w:rsid w:val="00011B42"/>
    <w:rsid w:val="000123DD"/>
    <w:rsid w:val="0001317D"/>
    <w:rsid w:val="00021805"/>
    <w:rsid w:val="000244C3"/>
    <w:rsid w:val="0003716A"/>
    <w:rsid w:val="00042D72"/>
    <w:rsid w:val="0004764B"/>
    <w:rsid w:val="00052F15"/>
    <w:rsid w:val="00055F31"/>
    <w:rsid w:val="000563A6"/>
    <w:rsid w:val="000621E3"/>
    <w:rsid w:val="0006457D"/>
    <w:rsid w:val="000652BF"/>
    <w:rsid w:val="000672DA"/>
    <w:rsid w:val="00067EEB"/>
    <w:rsid w:val="00076243"/>
    <w:rsid w:val="000805A3"/>
    <w:rsid w:val="0008342B"/>
    <w:rsid w:val="0008490B"/>
    <w:rsid w:val="000870D9"/>
    <w:rsid w:val="00091554"/>
    <w:rsid w:val="0009701E"/>
    <w:rsid w:val="00097D2A"/>
    <w:rsid w:val="00097E2B"/>
    <w:rsid w:val="000A31AA"/>
    <w:rsid w:val="000A3295"/>
    <w:rsid w:val="000A578F"/>
    <w:rsid w:val="000A6F2A"/>
    <w:rsid w:val="000B0F13"/>
    <w:rsid w:val="000B18AB"/>
    <w:rsid w:val="000B1EF1"/>
    <w:rsid w:val="000B6C7C"/>
    <w:rsid w:val="000C1F0A"/>
    <w:rsid w:val="000C2119"/>
    <w:rsid w:val="000C4533"/>
    <w:rsid w:val="000C6579"/>
    <w:rsid w:val="000C768F"/>
    <w:rsid w:val="000D2452"/>
    <w:rsid w:val="000D2523"/>
    <w:rsid w:val="000D2AB2"/>
    <w:rsid w:val="000D7D9A"/>
    <w:rsid w:val="000E5E7A"/>
    <w:rsid w:val="000E6F9D"/>
    <w:rsid w:val="000F2822"/>
    <w:rsid w:val="000F2B88"/>
    <w:rsid w:val="000F54A3"/>
    <w:rsid w:val="000F73B7"/>
    <w:rsid w:val="00102333"/>
    <w:rsid w:val="001051BF"/>
    <w:rsid w:val="00115AEB"/>
    <w:rsid w:val="00117477"/>
    <w:rsid w:val="001208B1"/>
    <w:rsid w:val="00121CCB"/>
    <w:rsid w:val="00126176"/>
    <w:rsid w:val="00126AC8"/>
    <w:rsid w:val="001278FB"/>
    <w:rsid w:val="00130676"/>
    <w:rsid w:val="0013271E"/>
    <w:rsid w:val="001337EF"/>
    <w:rsid w:val="00135404"/>
    <w:rsid w:val="0013566B"/>
    <w:rsid w:val="00140216"/>
    <w:rsid w:val="0014225B"/>
    <w:rsid w:val="00142494"/>
    <w:rsid w:val="0014259D"/>
    <w:rsid w:val="00143F42"/>
    <w:rsid w:val="00145058"/>
    <w:rsid w:val="00151CAD"/>
    <w:rsid w:val="001546DC"/>
    <w:rsid w:val="0015493E"/>
    <w:rsid w:val="00156456"/>
    <w:rsid w:val="00162675"/>
    <w:rsid w:val="00162C28"/>
    <w:rsid w:val="00166F5E"/>
    <w:rsid w:val="00172198"/>
    <w:rsid w:val="00172579"/>
    <w:rsid w:val="00174E58"/>
    <w:rsid w:val="00180AD3"/>
    <w:rsid w:val="00181B5D"/>
    <w:rsid w:val="00184135"/>
    <w:rsid w:val="001849EC"/>
    <w:rsid w:val="0019172C"/>
    <w:rsid w:val="00192588"/>
    <w:rsid w:val="00194E5C"/>
    <w:rsid w:val="001950CD"/>
    <w:rsid w:val="00196EA4"/>
    <w:rsid w:val="001978C1"/>
    <w:rsid w:val="001A1D95"/>
    <w:rsid w:val="001A3264"/>
    <w:rsid w:val="001A3816"/>
    <w:rsid w:val="001B7DA7"/>
    <w:rsid w:val="001B7F8B"/>
    <w:rsid w:val="001C009A"/>
    <w:rsid w:val="001C1342"/>
    <w:rsid w:val="001C21F8"/>
    <w:rsid w:val="001C37DB"/>
    <w:rsid w:val="001C5227"/>
    <w:rsid w:val="001C730D"/>
    <w:rsid w:val="001D03CB"/>
    <w:rsid w:val="001D2BE0"/>
    <w:rsid w:val="001D3EBA"/>
    <w:rsid w:val="001D3FCE"/>
    <w:rsid w:val="001D4222"/>
    <w:rsid w:val="001E1162"/>
    <w:rsid w:val="001E2E21"/>
    <w:rsid w:val="001E4A52"/>
    <w:rsid w:val="001E5686"/>
    <w:rsid w:val="001E5F9F"/>
    <w:rsid w:val="001E722D"/>
    <w:rsid w:val="001E78DB"/>
    <w:rsid w:val="001F0EF9"/>
    <w:rsid w:val="001F1C92"/>
    <w:rsid w:val="001F49EC"/>
    <w:rsid w:val="00200444"/>
    <w:rsid w:val="00201E2D"/>
    <w:rsid w:val="00206018"/>
    <w:rsid w:val="002074CF"/>
    <w:rsid w:val="00213A75"/>
    <w:rsid w:val="002162D6"/>
    <w:rsid w:val="002304E8"/>
    <w:rsid w:val="002334B2"/>
    <w:rsid w:val="00233AF7"/>
    <w:rsid w:val="00235596"/>
    <w:rsid w:val="00240C04"/>
    <w:rsid w:val="00241529"/>
    <w:rsid w:val="00241973"/>
    <w:rsid w:val="00243E0B"/>
    <w:rsid w:val="002503BF"/>
    <w:rsid w:val="00250AE5"/>
    <w:rsid w:val="00252FF8"/>
    <w:rsid w:val="00254B90"/>
    <w:rsid w:val="00255FE9"/>
    <w:rsid w:val="00256179"/>
    <w:rsid w:val="002570A6"/>
    <w:rsid w:val="0025744C"/>
    <w:rsid w:val="00264C96"/>
    <w:rsid w:val="002652EC"/>
    <w:rsid w:val="00265F66"/>
    <w:rsid w:val="00266D75"/>
    <w:rsid w:val="002725CD"/>
    <w:rsid w:val="002756C4"/>
    <w:rsid w:val="00275753"/>
    <w:rsid w:val="00281165"/>
    <w:rsid w:val="002817FF"/>
    <w:rsid w:val="00281BEC"/>
    <w:rsid w:val="0029066E"/>
    <w:rsid w:val="002941DA"/>
    <w:rsid w:val="002962FC"/>
    <w:rsid w:val="002965AB"/>
    <w:rsid w:val="002A2E5E"/>
    <w:rsid w:val="002A3123"/>
    <w:rsid w:val="002A38D0"/>
    <w:rsid w:val="002A7FAD"/>
    <w:rsid w:val="002B70D6"/>
    <w:rsid w:val="002B73C7"/>
    <w:rsid w:val="002C2FA8"/>
    <w:rsid w:val="002C3335"/>
    <w:rsid w:val="002C7385"/>
    <w:rsid w:val="002D0B1E"/>
    <w:rsid w:val="002D32B6"/>
    <w:rsid w:val="002D5C86"/>
    <w:rsid w:val="002E0F6F"/>
    <w:rsid w:val="002E2E8D"/>
    <w:rsid w:val="002E70DD"/>
    <w:rsid w:val="002E7128"/>
    <w:rsid w:val="002F3B64"/>
    <w:rsid w:val="002F4E95"/>
    <w:rsid w:val="0031300B"/>
    <w:rsid w:val="00314628"/>
    <w:rsid w:val="00314B2E"/>
    <w:rsid w:val="00320442"/>
    <w:rsid w:val="003205E8"/>
    <w:rsid w:val="003214FB"/>
    <w:rsid w:val="00321A87"/>
    <w:rsid w:val="00321CAB"/>
    <w:rsid w:val="00324164"/>
    <w:rsid w:val="00324F60"/>
    <w:rsid w:val="00332585"/>
    <w:rsid w:val="00332FF0"/>
    <w:rsid w:val="003343EB"/>
    <w:rsid w:val="00334410"/>
    <w:rsid w:val="00334D13"/>
    <w:rsid w:val="003428D7"/>
    <w:rsid w:val="00343CEA"/>
    <w:rsid w:val="00344859"/>
    <w:rsid w:val="00350347"/>
    <w:rsid w:val="00350D46"/>
    <w:rsid w:val="003526D0"/>
    <w:rsid w:val="0035421B"/>
    <w:rsid w:val="00361A01"/>
    <w:rsid w:val="003626EB"/>
    <w:rsid w:val="0036349C"/>
    <w:rsid w:val="00367919"/>
    <w:rsid w:val="00370E66"/>
    <w:rsid w:val="00376CAE"/>
    <w:rsid w:val="00376FB8"/>
    <w:rsid w:val="00380D93"/>
    <w:rsid w:val="00391CDD"/>
    <w:rsid w:val="0039308A"/>
    <w:rsid w:val="00393F29"/>
    <w:rsid w:val="0039477A"/>
    <w:rsid w:val="00396598"/>
    <w:rsid w:val="003A0906"/>
    <w:rsid w:val="003A0B42"/>
    <w:rsid w:val="003A6A34"/>
    <w:rsid w:val="003A7346"/>
    <w:rsid w:val="003A73E4"/>
    <w:rsid w:val="003B2325"/>
    <w:rsid w:val="003B790D"/>
    <w:rsid w:val="003B794C"/>
    <w:rsid w:val="003C4696"/>
    <w:rsid w:val="003C64C2"/>
    <w:rsid w:val="003D1087"/>
    <w:rsid w:val="003D21BA"/>
    <w:rsid w:val="003D397E"/>
    <w:rsid w:val="003D4D0D"/>
    <w:rsid w:val="003D6D24"/>
    <w:rsid w:val="003D78BD"/>
    <w:rsid w:val="003E39FA"/>
    <w:rsid w:val="003E3B8A"/>
    <w:rsid w:val="003E4637"/>
    <w:rsid w:val="003E49AE"/>
    <w:rsid w:val="003E5223"/>
    <w:rsid w:val="003E735F"/>
    <w:rsid w:val="003E74E6"/>
    <w:rsid w:val="003F0BB1"/>
    <w:rsid w:val="003F32B4"/>
    <w:rsid w:val="003F560A"/>
    <w:rsid w:val="003F5975"/>
    <w:rsid w:val="003F5B4B"/>
    <w:rsid w:val="0040071A"/>
    <w:rsid w:val="00400D41"/>
    <w:rsid w:val="00401586"/>
    <w:rsid w:val="00406261"/>
    <w:rsid w:val="00410F17"/>
    <w:rsid w:val="00411119"/>
    <w:rsid w:val="004145EE"/>
    <w:rsid w:val="00417056"/>
    <w:rsid w:val="004179F5"/>
    <w:rsid w:val="004202F1"/>
    <w:rsid w:val="00423D5D"/>
    <w:rsid w:val="00430B63"/>
    <w:rsid w:val="00431A57"/>
    <w:rsid w:val="0043275C"/>
    <w:rsid w:val="004351D8"/>
    <w:rsid w:val="00446F9E"/>
    <w:rsid w:val="004471E1"/>
    <w:rsid w:val="00447699"/>
    <w:rsid w:val="00455B8F"/>
    <w:rsid w:val="004576EC"/>
    <w:rsid w:val="00460046"/>
    <w:rsid w:val="00462218"/>
    <w:rsid w:val="00462F30"/>
    <w:rsid w:val="00472B8D"/>
    <w:rsid w:val="00474943"/>
    <w:rsid w:val="00474E19"/>
    <w:rsid w:val="004753F2"/>
    <w:rsid w:val="00477E66"/>
    <w:rsid w:val="00482566"/>
    <w:rsid w:val="004850B3"/>
    <w:rsid w:val="00491DF1"/>
    <w:rsid w:val="0049336C"/>
    <w:rsid w:val="004949FC"/>
    <w:rsid w:val="004978E3"/>
    <w:rsid w:val="004A2861"/>
    <w:rsid w:val="004A4A55"/>
    <w:rsid w:val="004A5FF4"/>
    <w:rsid w:val="004A6528"/>
    <w:rsid w:val="004A70EE"/>
    <w:rsid w:val="004B4B3E"/>
    <w:rsid w:val="004B6F99"/>
    <w:rsid w:val="004C0486"/>
    <w:rsid w:val="004C0BE4"/>
    <w:rsid w:val="004C4E6E"/>
    <w:rsid w:val="004C6206"/>
    <w:rsid w:val="004C682B"/>
    <w:rsid w:val="004C68F9"/>
    <w:rsid w:val="004C6D47"/>
    <w:rsid w:val="004D5CAA"/>
    <w:rsid w:val="004D719F"/>
    <w:rsid w:val="004D7A5C"/>
    <w:rsid w:val="004E0690"/>
    <w:rsid w:val="004E0F6E"/>
    <w:rsid w:val="004E1EFB"/>
    <w:rsid w:val="004E417B"/>
    <w:rsid w:val="004F06A5"/>
    <w:rsid w:val="004F17CC"/>
    <w:rsid w:val="004F3287"/>
    <w:rsid w:val="004F3FE7"/>
    <w:rsid w:val="004F5B80"/>
    <w:rsid w:val="004F5D60"/>
    <w:rsid w:val="005007A0"/>
    <w:rsid w:val="00502C3E"/>
    <w:rsid w:val="00506B57"/>
    <w:rsid w:val="00507B61"/>
    <w:rsid w:val="00507C46"/>
    <w:rsid w:val="00512BFF"/>
    <w:rsid w:val="00517702"/>
    <w:rsid w:val="00517DE0"/>
    <w:rsid w:val="0052087D"/>
    <w:rsid w:val="005355C7"/>
    <w:rsid w:val="00540D86"/>
    <w:rsid w:val="00551B7E"/>
    <w:rsid w:val="005546BF"/>
    <w:rsid w:val="00556ACE"/>
    <w:rsid w:val="005629CF"/>
    <w:rsid w:val="00565F5B"/>
    <w:rsid w:val="005661C3"/>
    <w:rsid w:val="005672CE"/>
    <w:rsid w:val="005676E2"/>
    <w:rsid w:val="005707C7"/>
    <w:rsid w:val="0057133B"/>
    <w:rsid w:val="00573830"/>
    <w:rsid w:val="00574939"/>
    <w:rsid w:val="00576581"/>
    <w:rsid w:val="00583766"/>
    <w:rsid w:val="0058517C"/>
    <w:rsid w:val="00585C93"/>
    <w:rsid w:val="005862EB"/>
    <w:rsid w:val="005926AB"/>
    <w:rsid w:val="00595718"/>
    <w:rsid w:val="005975B8"/>
    <w:rsid w:val="005975BD"/>
    <w:rsid w:val="005A2BB4"/>
    <w:rsid w:val="005A64C5"/>
    <w:rsid w:val="005A79A6"/>
    <w:rsid w:val="005B4294"/>
    <w:rsid w:val="005B6542"/>
    <w:rsid w:val="005B6868"/>
    <w:rsid w:val="005C220B"/>
    <w:rsid w:val="005C5343"/>
    <w:rsid w:val="005D1444"/>
    <w:rsid w:val="005E16BF"/>
    <w:rsid w:val="005E359E"/>
    <w:rsid w:val="005E4CBE"/>
    <w:rsid w:val="005F1585"/>
    <w:rsid w:val="005F2A66"/>
    <w:rsid w:val="006003E2"/>
    <w:rsid w:val="00600BC2"/>
    <w:rsid w:val="00601331"/>
    <w:rsid w:val="00603193"/>
    <w:rsid w:val="006042A4"/>
    <w:rsid w:val="006048E5"/>
    <w:rsid w:val="00611539"/>
    <w:rsid w:val="006118A2"/>
    <w:rsid w:val="00613F0C"/>
    <w:rsid w:val="006235AE"/>
    <w:rsid w:val="006246C5"/>
    <w:rsid w:val="00630AC4"/>
    <w:rsid w:val="006327A1"/>
    <w:rsid w:val="00634B58"/>
    <w:rsid w:val="0063774E"/>
    <w:rsid w:val="00637928"/>
    <w:rsid w:val="00641C98"/>
    <w:rsid w:val="00645FDE"/>
    <w:rsid w:val="00650B73"/>
    <w:rsid w:val="00650C56"/>
    <w:rsid w:val="00654D7A"/>
    <w:rsid w:val="006552AA"/>
    <w:rsid w:val="006565A7"/>
    <w:rsid w:val="00660133"/>
    <w:rsid w:val="00667848"/>
    <w:rsid w:val="006714D3"/>
    <w:rsid w:val="00676A83"/>
    <w:rsid w:val="00680E0A"/>
    <w:rsid w:val="00683E31"/>
    <w:rsid w:val="006947FD"/>
    <w:rsid w:val="006975C5"/>
    <w:rsid w:val="00697F72"/>
    <w:rsid w:val="006A0EBA"/>
    <w:rsid w:val="006A1D63"/>
    <w:rsid w:val="006A2085"/>
    <w:rsid w:val="006A718C"/>
    <w:rsid w:val="006A7494"/>
    <w:rsid w:val="006A7CD2"/>
    <w:rsid w:val="006B1818"/>
    <w:rsid w:val="006B1C69"/>
    <w:rsid w:val="006B36C1"/>
    <w:rsid w:val="006B3EDA"/>
    <w:rsid w:val="006C0679"/>
    <w:rsid w:val="006C25E9"/>
    <w:rsid w:val="006C4059"/>
    <w:rsid w:val="006C4DB9"/>
    <w:rsid w:val="006C591C"/>
    <w:rsid w:val="006D26CD"/>
    <w:rsid w:val="006D38C3"/>
    <w:rsid w:val="006D47F0"/>
    <w:rsid w:val="006D6F86"/>
    <w:rsid w:val="006D7D01"/>
    <w:rsid w:val="006E6554"/>
    <w:rsid w:val="006E73A3"/>
    <w:rsid w:val="006F1BCA"/>
    <w:rsid w:val="006F2300"/>
    <w:rsid w:val="006F3F12"/>
    <w:rsid w:val="006F7B60"/>
    <w:rsid w:val="007004C9"/>
    <w:rsid w:val="0070431B"/>
    <w:rsid w:val="00705B1B"/>
    <w:rsid w:val="007122B5"/>
    <w:rsid w:val="00726729"/>
    <w:rsid w:val="00730543"/>
    <w:rsid w:val="007436BF"/>
    <w:rsid w:val="00745CEF"/>
    <w:rsid w:val="007568D0"/>
    <w:rsid w:val="00762789"/>
    <w:rsid w:val="00763D5C"/>
    <w:rsid w:val="0076668E"/>
    <w:rsid w:val="007704FB"/>
    <w:rsid w:val="007712A4"/>
    <w:rsid w:val="00771918"/>
    <w:rsid w:val="00772DCA"/>
    <w:rsid w:val="007733EA"/>
    <w:rsid w:val="00773630"/>
    <w:rsid w:val="007815EC"/>
    <w:rsid w:val="00783BFC"/>
    <w:rsid w:val="00783C43"/>
    <w:rsid w:val="00783EDE"/>
    <w:rsid w:val="00783F19"/>
    <w:rsid w:val="00790AC2"/>
    <w:rsid w:val="0079278D"/>
    <w:rsid w:val="0079497B"/>
    <w:rsid w:val="00797013"/>
    <w:rsid w:val="007A0899"/>
    <w:rsid w:val="007A541D"/>
    <w:rsid w:val="007B63FB"/>
    <w:rsid w:val="007B675D"/>
    <w:rsid w:val="007B78C3"/>
    <w:rsid w:val="007B78E8"/>
    <w:rsid w:val="007C165E"/>
    <w:rsid w:val="007C58F1"/>
    <w:rsid w:val="007C6A86"/>
    <w:rsid w:val="007D02E9"/>
    <w:rsid w:val="007D24B2"/>
    <w:rsid w:val="007D32DB"/>
    <w:rsid w:val="007E080A"/>
    <w:rsid w:val="007E0B61"/>
    <w:rsid w:val="007E54BB"/>
    <w:rsid w:val="007E603C"/>
    <w:rsid w:val="007E6DF3"/>
    <w:rsid w:val="007E71DB"/>
    <w:rsid w:val="007F1016"/>
    <w:rsid w:val="007F2163"/>
    <w:rsid w:val="007F22A3"/>
    <w:rsid w:val="007F369A"/>
    <w:rsid w:val="00802CDF"/>
    <w:rsid w:val="008050B3"/>
    <w:rsid w:val="008100C9"/>
    <w:rsid w:val="00810D88"/>
    <w:rsid w:val="00811C9F"/>
    <w:rsid w:val="00811F04"/>
    <w:rsid w:val="00812E0B"/>
    <w:rsid w:val="00814F87"/>
    <w:rsid w:val="008229E1"/>
    <w:rsid w:val="00822C61"/>
    <w:rsid w:val="00824406"/>
    <w:rsid w:val="00824F12"/>
    <w:rsid w:val="00825744"/>
    <w:rsid w:val="00825F1C"/>
    <w:rsid w:val="00827032"/>
    <w:rsid w:val="0083010E"/>
    <w:rsid w:val="00833848"/>
    <w:rsid w:val="008401C0"/>
    <w:rsid w:val="00842C0E"/>
    <w:rsid w:val="00842DB1"/>
    <w:rsid w:val="00844B5F"/>
    <w:rsid w:val="00844C33"/>
    <w:rsid w:val="00851EFF"/>
    <w:rsid w:val="008640BE"/>
    <w:rsid w:val="00864268"/>
    <w:rsid w:val="00866391"/>
    <w:rsid w:val="00870DD4"/>
    <w:rsid w:val="00875623"/>
    <w:rsid w:val="00876CE9"/>
    <w:rsid w:val="00883E0C"/>
    <w:rsid w:val="008842D6"/>
    <w:rsid w:val="00886CEA"/>
    <w:rsid w:val="00887E87"/>
    <w:rsid w:val="008902E6"/>
    <w:rsid w:val="00890E32"/>
    <w:rsid w:val="008A1190"/>
    <w:rsid w:val="008A44C7"/>
    <w:rsid w:val="008A4DE3"/>
    <w:rsid w:val="008A5636"/>
    <w:rsid w:val="008A6FE6"/>
    <w:rsid w:val="008B5195"/>
    <w:rsid w:val="008C0645"/>
    <w:rsid w:val="008C253B"/>
    <w:rsid w:val="008C60D4"/>
    <w:rsid w:val="008D1DF0"/>
    <w:rsid w:val="008D3B9D"/>
    <w:rsid w:val="008D6D26"/>
    <w:rsid w:val="008D7311"/>
    <w:rsid w:val="008D79F0"/>
    <w:rsid w:val="008E22EA"/>
    <w:rsid w:val="008E4376"/>
    <w:rsid w:val="008E4F3E"/>
    <w:rsid w:val="008E6E19"/>
    <w:rsid w:val="008E758D"/>
    <w:rsid w:val="008E7734"/>
    <w:rsid w:val="008F1685"/>
    <w:rsid w:val="008F1894"/>
    <w:rsid w:val="008F344D"/>
    <w:rsid w:val="008F47F5"/>
    <w:rsid w:val="008F75C2"/>
    <w:rsid w:val="00900D19"/>
    <w:rsid w:val="00901566"/>
    <w:rsid w:val="009035B3"/>
    <w:rsid w:val="0090686E"/>
    <w:rsid w:val="00910349"/>
    <w:rsid w:val="00912918"/>
    <w:rsid w:val="009171F0"/>
    <w:rsid w:val="00917BDB"/>
    <w:rsid w:val="00922CAB"/>
    <w:rsid w:val="00924E0D"/>
    <w:rsid w:val="00927FDD"/>
    <w:rsid w:val="00942266"/>
    <w:rsid w:val="00942B9A"/>
    <w:rsid w:val="009440C1"/>
    <w:rsid w:val="00951078"/>
    <w:rsid w:val="00951298"/>
    <w:rsid w:val="00951DFE"/>
    <w:rsid w:val="0095483B"/>
    <w:rsid w:val="009555FC"/>
    <w:rsid w:val="009579D4"/>
    <w:rsid w:val="00957A9B"/>
    <w:rsid w:val="0096202C"/>
    <w:rsid w:val="00964B2A"/>
    <w:rsid w:val="00970CC7"/>
    <w:rsid w:val="00975CFD"/>
    <w:rsid w:val="00976D44"/>
    <w:rsid w:val="00976FD3"/>
    <w:rsid w:val="0098511A"/>
    <w:rsid w:val="009865E3"/>
    <w:rsid w:val="00987796"/>
    <w:rsid w:val="009932DB"/>
    <w:rsid w:val="009A077B"/>
    <w:rsid w:val="009A3FDF"/>
    <w:rsid w:val="009A4123"/>
    <w:rsid w:val="009A4A5B"/>
    <w:rsid w:val="009A5299"/>
    <w:rsid w:val="009A5736"/>
    <w:rsid w:val="009A5D98"/>
    <w:rsid w:val="009A6192"/>
    <w:rsid w:val="009A7A81"/>
    <w:rsid w:val="009B3509"/>
    <w:rsid w:val="009B4C26"/>
    <w:rsid w:val="009B61F7"/>
    <w:rsid w:val="009B7597"/>
    <w:rsid w:val="009C55D7"/>
    <w:rsid w:val="009C6698"/>
    <w:rsid w:val="009D0E5B"/>
    <w:rsid w:val="009D0F50"/>
    <w:rsid w:val="009D4E1B"/>
    <w:rsid w:val="009D7033"/>
    <w:rsid w:val="009E159A"/>
    <w:rsid w:val="009E1C17"/>
    <w:rsid w:val="009E1DB4"/>
    <w:rsid w:val="009E28BB"/>
    <w:rsid w:val="009F007D"/>
    <w:rsid w:val="009F52D0"/>
    <w:rsid w:val="009F5AB3"/>
    <w:rsid w:val="00A011A8"/>
    <w:rsid w:val="00A016D9"/>
    <w:rsid w:val="00A019C9"/>
    <w:rsid w:val="00A01BA6"/>
    <w:rsid w:val="00A02150"/>
    <w:rsid w:val="00A0412E"/>
    <w:rsid w:val="00A05937"/>
    <w:rsid w:val="00A11AE8"/>
    <w:rsid w:val="00A11F73"/>
    <w:rsid w:val="00A14638"/>
    <w:rsid w:val="00A17375"/>
    <w:rsid w:val="00A236EF"/>
    <w:rsid w:val="00A273DD"/>
    <w:rsid w:val="00A302BE"/>
    <w:rsid w:val="00A3079C"/>
    <w:rsid w:val="00A30EDF"/>
    <w:rsid w:val="00A37AA2"/>
    <w:rsid w:val="00A37D2B"/>
    <w:rsid w:val="00A44424"/>
    <w:rsid w:val="00A52D83"/>
    <w:rsid w:val="00A542A6"/>
    <w:rsid w:val="00A57D43"/>
    <w:rsid w:val="00A6114F"/>
    <w:rsid w:val="00A6367E"/>
    <w:rsid w:val="00A653AA"/>
    <w:rsid w:val="00A73320"/>
    <w:rsid w:val="00A76AA3"/>
    <w:rsid w:val="00A772ED"/>
    <w:rsid w:val="00A80915"/>
    <w:rsid w:val="00A80B77"/>
    <w:rsid w:val="00A80FC5"/>
    <w:rsid w:val="00A85BBF"/>
    <w:rsid w:val="00A86CB0"/>
    <w:rsid w:val="00A9248E"/>
    <w:rsid w:val="00A9690D"/>
    <w:rsid w:val="00AA05D1"/>
    <w:rsid w:val="00AA59C7"/>
    <w:rsid w:val="00AB1382"/>
    <w:rsid w:val="00AB461A"/>
    <w:rsid w:val="00AB46AB"/>
    <w:rsid w:val="00AB4EED"/>
    <w:rsid w:val="00AB56A0"/>
    <w:rsid w:val="00AB6D54"/>
    <w:rsid w:val="00AB6E88"/>
    <w:rsid w:val="00AB7EA2"/>
    <w:rsid w:val="00AC037B"/>
    <w:rsid w:val="00AC499E"/>
    <w:rsid w:val="00AD107B"/>
    <w:rsid w:val="00AD4560"/>
    <w:rsid w:val="00AD4811"/>
    <w:rsid w:val="00AD5376"/>
    <w:rsid w:val="00AE5116"/>
    <w:rsid w:val="00AF1149"/>
    <w:rsid w:val="00AF4BEC"/>
    <w:rsid w:val="00AF7005"/>
    <w:rsid w:val="00AF7345"/>
    <w:rsid w:val="00B0064E"/>
    <w:rsid w:val="00B03C77"/>
    <w:rsid w:val="00B06854"/>
    <w:rsid w:val="00B12D27"/>
    <w:rsid w:val="00B2154E"/>
    <w:rsid w:val="00B233A8"/>
    <w:rsid w:val="00B30249"/>
    <w:rsid w:val="00B30939"/>
    <w:rsid w:val="00B34E0E"/>
    <w:rsid w:val="00B359D3"/>
    <w:rsid w:val="00B36233"/>
    <w:rsid w:val="00B3658D"/>
    <w:rsid w:val="00B44F0B"/>
    <w:rsid w:val="00B56016"/>
    <w:rsid w:val="00B61F01"/>
    <w:rsid w:val="00B62571"/>
    <w:rsid w:val="00B65095"/>
    <w:rsid w:val="00B66210"/>
    <w:rsid w:val="00B667D8"/>
    <w:rsid w:val="00B6771D"/>
    <w:rsid w:val="00B70F25"/>
    <w:rsid w:val="00B745B4"/>
    <w:rsid w:val="00B74F7B"/>
    <w:rsid w:val="00B81F52"/>
    <w:rsid w:val="00B83F1D"/>
    <w:rsid w:val="00B87809"/>
    <w:rsid w:val="00B90CD8"/>
    <w:rsid w:val="00B90E53"/>
    <w:rsid w:val="00B91421"/>
    <w:rsid w:val="00B93ACD"/>
    <w:rsid w:val="00B96B36"/>
    <w:rsid w:val="00B97353"/>
    <w:rsid w:val="00B97DC2"/>
    <w:rsid w:val="00BA19FE"/>
    <w:rsid w:val="00BA4FE8"/>
    <w:rsid w:val="00BA574A"/>
    <w:rsid w:val="00BA57E9"/>
    <w:rsid w:val="00BA5A3C"/>
    <w:rsid w:val="00BB113F"/>
    <w:rsid w:val="00BB76FF"/>
    <w:rsid w:val="00BC265B"/>
    <w:rsid w:val="00BC369E"/>
    <w:rsid w:val="00BC5BB7"/>
    <w:rsid w:val="00BD6DEA"/>
    <w:rsid w:val="00BD7F50"/>
    <w:rsid w:val="00BE26A3"/>
    <w:rsid w:val="00BE6CC5"/>
    <w:rsid w:val="00BF1DFB"/>
    <w:rsid w:val="00BF35EB"/>
    <w:rsid w:val="00BF39EE"/>
    <w:rsid w:val="00BF49C3"/>
    <w:rsid w:val="00C01356"/>
    <w:rsid w:val="00C03AA0"/>
    <w:rsid w:val="00C12FE3"/>
    <w:rsid w:val="00C133AF"/>
    <w:rsid w:val="00C157D1"/>
    <w:rsid w:val="00C21C77"/>
    <w:rsid w:val="00C2401B"/>
    <w:rsid w:val="00C270E2"/>
    <w:rsid w:val="00C27E61"/>
    <w:rsid w:val="00C34AB5"/>
    <w:rsid w:val="00C34BA6"/>
    <w:rsid w:val="00C37E1C"/>
    <w:rsid w:val="00C42EBE"/>
    <w:rsid w:val="00C43EFD"/>
    <w:rsid w:val="00C4441C"/>
    <w:rsid w:val="00C46FA3"/>
    <w:rsid w:val="00C60997"/>
    <w:rsid w:val="00C60E8F"/>
    <w:rsid w:val="00C61A99"/>
    <w:rsid w:val="00C61CF2"/>
    <w:rsid w:val="00C629A0"/>
    <w:rsid w:val="00C62F8A"/>
    <w:rsid w:val="00C736B8"/>
    <w:rsid w:val="00C7654E"/>
    <w:rsid w:val="00C8025F"/>
    <w:rsid w:val="00C82450"/>
    <w:rsid w:val="00C82519"/>
    <w:rsid w:val="00C86C4A"/>
    <w:rsid w:val="00C90AC4"/>
    <w:rsid w:val="00C917E8"/>
    <w:rsid w:val="00C91BED"/>
    <w:rsid w:val="00C92A1B"/>
    <w:rsid w:val="00C94326"/>
    <w:rsid w:val="00C94FDB"/>
    <w:rsid w:val="00C974D4"/>
    <w:rsid w:val="00CA1D79"/>
    <w:rsid w:val="00CA37F2"/>
    <w:rsid w:val="00CB3B50"/>
    <w:rsid w:val="00CB5B0D"/>
    <w:rsid w:val="00CB5FD8"/>
    <w:rsid w:val="00CC208E"/>
    <w:rsid w:val="00CC2B79"/>
    <w:rsid w:val="00CD1E7B"/>
    <w:rsid w:val="00CD325D"/>
    <w:rsid w:val="00CD37E7"/>
    <w:rsid w:val="00CD4CC4"/>
    <w:rsid w:val="00CD5B1F"/>
    <w:rsid w:val="00CD66F3"/>
    <w:rsid w:val="00CE0E2A"/>
    <w:rsid w:val="00CE2162"/>
    <w:rsid w:val="00CE340E"/>
    <w:rsid w:val="00CE5F33"/>
    <w:rsid w:val="00CF41A2"/>
    <w:rsid w:val="00CF468D"/>
    <w:rsid w:val="00CF75F4"/>
    <w:rsid w:val="00D073FA"/>
    <w:rsid w:val="00D10C73"/>
    <w:rsid w:val="00D11418"/>
    <w:rsid w:val="00D12242"/>
    <w:rsid w:val="00D2158C"/>
    <w:rsid w:val="00D2259F"/>
    <w:rsid w:val="00D25115"/>
    <w:rsid w:val="00D2607F"/>
    <w:rsid w:val="00D32841"/>
    <w:rsid w:val="00D3321A"/>
    <w:rsid w:val="00D361B4"/>
    <w:rsid w:val="00D36E09"/>
    <w:rsid w:val="00D37474"/>
    <w:rsid w:val="00D402CB"/>
    <w:rsid w:val="00D4519F"/>
    <w:rsid w:val="00D460E9"/>
    <w:rsid w:val="00D5034F"/>
    <w:rsid w:val="00D52E11"/>
    <w:rsid w:val="00D53E6B"/>
    <w:rsid w:val="00D6046C"/>
    <w:rsid w:val="00D624BD"/>
    <w:rsid w:val="00D62AB4"/>
    <w:rsid w:val="00D64964"/>
    <w:rsid w:val="00D65645"/>
    <w:rsid w:val="00D71458"/>
    <w:rsid w:val="00D739A4"/>
    <w:rsid w:val="00D74839"/>
    <w:rsid w:val="00D749F3"/>
    <w:rsid w:val="00D763C9"/>
    <w:rsid w:val="00D81077"/>
    <w:rsid w:val="00D9081F"/>
    <w:rsid w:val="00D91978"/>
    <w:rsid w:val="00D92BA9"/>
    <w:rsid w:val="00D93BF2"/>
    <w:rsid w:val="00D954FE"/>
    <w:rsid w:val="00D9710C"/>
    <w:rsid w:val="00DA0D18"/>
    <w:rsid w:val="00DA3339"/>
    <w:rsid w:val="00DA5BDB"/>
    <w:rsid w:val="00DA6392"/>
    <w:rsid w:val="00DB2BA6"/>
    <w:rsid w:val="00DC2634"/>
    <w:rsid w:val="00DC303A"/>
    <w:rsid w:val="00DC3A41"/>
    <w:rsid w:val="00DC6FEF"/>
    <w:rsid w:val="00DD10CA"/>
    <w:rsid w:val="00DD3A3D"/>
    <w:rsid w:val="00DD40B5"/>
    <w:rsid w:val="00DD4BB4"/>
    <w:rsid w:val="00DE266F"/>
    <w:rsid w:val="00DE7F57"/>
    <w:rsid w:val="00DF26EE"/>
    <w:rsid w:val="00DF40C8"/>
    <w:rsid w:val="00DF473A"/>
    <w:rsid w:val="00DF7F7E"/>
    <w:rsid w:val="00E02A72"/>
    <w:rsid w:val="00E058C0"/>
    <w:rsid w:val="00E06722"/>
    <w:rsid w:val="00E06FE2"/>
    <w:rsid w:val="00E07CEB"/>
    <w:rsid w:val="00E10998"/>
    <w:rsid w:val="00E110D0"/>
    <w:rsid w:val="00E13EC4"/>
    <w:rsid w:val="00E17A11"/>
    <w:rsid w:val="00E20C00"/>
    <w:rsid w:val="00E223D3"/>
    <w:rsid w:val="00E2329C"/>
    <w:rsid w:val="00E24655"/>
    <w:rsid w:val="00E32FD4"/>
    <w:rsid w:val="00E336D9"/>
    <w:rsid w:val="00E34016"/>
    <w:rsid w:val="00E3559C"/>
    <w:rsid w:val="00E361F0"/>
    <w:rsid w:val="00E36389"/>
    <w:rsid w:val="00E37203"/>
    <w:rsid w:val="00E42604"/>
    <w:rsid w:val="00E429D2"/>
    <w:rsid w:val="00E429D5"/>
    <w:rsid w:val="00E44A63"/>
    <w:rsid w:val="00E45BEA"/>
    <w:rsid w:val="00E47500"/>
    <w:rsid w:val="00E50C61"/>
    <w:rsid w:val="00E510F2"/>
    <w:rsid w:val="00E52B16"/>
    <w:rsid w:val="00E53C53"/>
    <w:rsid w:val="00E57463"/>
    <w:rsid w:val="00E650CF"/>
    <w:rsid w:val="00E7010E"/>
    <w:rsid w:val="00E7519B"/>
    <w:rsid w:val="00E7573E"/>
    <w:rsid w:val="00E75B52"/>
    <w:rsid w:val="00E7737A"/>
    <w:rsid w:val="00E81FC0"/>
    <w:rsid w:val="00E8468B"/>
    <w:rsid w:val="00E856F8"/>
    <w:rsid w:val="00E8714A"/>
    <w:rsid w:val="00E938CA"/>
    <w:rsid w:val="00E959A1"/>
    <w:rsid w:val="00E96927"/>
    <w:rsid w:val="00EA2E24"/>
    <w:rsid w:val="00EA6D85"/>
    <w:rsid w:val="00EA7624"/>
    <w:rsid w:val="00EB2696"/>
    <w:rsid w:val="00EB3C41"/>
    <w:rsid w:val="00EB5028"/>
    <w:rsid w:val="00EB5B24"/>
    <w:rsid w:val="00EB71C0"/>
    <w:rsid w:val="00EB7325"/>
    <w:rsid w:val="00EB7880"/>
    <w:rsid w:val="00EB7B29"/>
    <w:rsid w:val="00EC12A0"/>
    <w:rsid w:val="00EC3A12"/>
    <w:rsid w:val="00EC3E2A"/>
    <w:rsid w:val="00EC6134"/>
    <w:rsid w:val="00EC6A61"/>
    <w:rsid w:val="00ED29EB"/>
    <w:rsid w:val="00ED4F30"/>
    <w:rsid w:val="00ED52A9"/>
    <w:rsid w:val="00ED609E"/>
    <w:rsid w:val="00ED6EFA"/>
    <w:rsid w:val="00EE269D"/>
    <w:rsid w:val="00EE363C"/>
    <w:rsid w:val="00EE75D0"/>
    <w:rsid w:val="00EF0414"/>
    <w:rsid w:val="00EF26F4"/>
    <w:rsid w:val="00EF3DD9"/>
    <w:rsid w:val="00EF5BD0"/>
    <w:rsid w:val="00F00AA4"/>
    <w:rsid w:val="00F03BF7"/>
    <w:rsid w:val="00F0520B"/>
    <w:rsid w:val="00F07105"/>
    <w:rsid w:val="00F074AD"/>
    <w:rsid w:val="00F13634"/>
    <w:rsid w:val="00F14436"/>
    <w:rsid w:val="00F164F0"/>
    <w:rsid w:val="00F20649"/>
    <w:rsid w:val="00F24F1B"/>
    <w:rsid w:val="00F25552"/>
    <w:rsid w:val="00F26F43"/>
    <w:rsid w:val="00F334F1"/>
    <w:rsid w:val="00F33F50"/>
    <w:rsid w:val="00F35341"/>
    <w:rsid w:val="00F4289F"/>
    <w:rsid w:val="00F44FC5"/>
    <w:rsid w:val="00F468E8"/>
    <w:rsid w:val="00F473EE"/>
    <w:rsid w:val="00F50DD3"/>
    <w:rsid w:val="00F56033"/>
    <w:rsid w:val="00F560DE"/>
    <w:rsid w:val="00F60BB0"/>
    <w:rsid w:val="00F677E5"/>
    <w:rsid w:val="00F70AB5"/>
    <w:rsid w:val="00F71F13"/>
    <w:rsid w:val="00F732AF"/>
    <w:rsid w:val="00F765F5"/>
    <w:rsid w:val="00F77ACB"/>
    <w:rsid w:val="00F77E25"/>
    <w:rsid w:val="00F83BE5"/>
    <w:rsid w:val="00F84578"/>
    <w:rsid w:val="00F84D0F"/>
    <w:rsid w:val="00F943BA"/>
    <w:rsid w:val="00F9582A"/>
    <w:rsid w:val="00F95D3E"/>
    <w:rsid w:val="00F96786"/>
    <w:rsid w:val="00F97954"/>
    <w:rsid w:val="00FA02B8"/>
    <w:rsid w:val="00FA2CE8"/>
    <w:rsid w:val="00FA5F73"/>
    <w:rsid w:val="00FB3FF9"/>
    <w:rsid w:val="00FB74C1"/>
    <w:rsid w:val="00FC3DA3"/>
    <w:rsid w:val="00FC7436"/>
    <w:rsid w:val="00FD286B"/>
    <w:rsid w:val="00FD3317"/>
    <w:rsid w:val="00FD3D76"/>
    <w:rsid w:val="00FD49B5"/>
    <w:rsid w:val="00FD72A6"/>
    <w:rsid w:val="00FE019A"/>
    <w:rsid w:val="00FE2001"/>
    <w:rsid w:val="00FE6530"/>
    <w:rsid w:val="00FE65AE"/>
    <w:rsid w:val="00FE7893"/>
    <w:rsid w:val="00FF3A28"/>
    <w:rsid w:val="00FF5E15"/>
    <w:rsid w:val="00FF6335"/>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31D9"/>
  <w15:chartTrackingRefBased/>
  <w15:docId w15:val="{3D7888CA-FA96-402E-A3CE-CBCCB4F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752</Words>
  <Characters>4290</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DIFFERENCES THAT ARE NOT SIGNIFICANT</vt:lpstr>
      <vt:lpstr>    DIFFERENCES THAT ARE SIGNIFICANT</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1</cp:revision>
  <dcterms:created xsi:type="dcterms:W3CDTF">2020-07-28T19:14:00Z</dcterms:created>
  <dcterms:modified xsi:type="dcterms:W3CDTF">2020-07-28T19:18:00Z</dcterms:modified>
</cp:coreProperties>
</file>